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D50" w:rsidRDefault="00254D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4D50" w:rsidRDefault="00254D5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54D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4D50" w:rsidRDefault="00254D50">
            <w:pPr>
              <w:pStyle w:val="ConsPlusNormal"/>
              <w:outlineLvl w:val="0"/>
            </w:pPr>
            <w:r>
              <w:t>14 ноября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4D50" w:rsidRDefault="00254D50">
            <w:pPr>
              <w:pStyle w:val="ConsPlusNormal"/>
              <w:jc w:val="right"/>
              <w:outlineLvl w:val="0"/>
            </w:pPr>
            <w:r>
              <w:t>N 437-ЗРТ</w:t>
            </w:r>
          </w:p>
        </w:tc>
      </w:tr>
    </w:tbl>
    <w:p w:rsidR="00254D50" w:rsidRDefault="00254D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jc w:val="center"/>
      </w:pPr>
      <w:r>
        <w:t>РЕСПУБЛИКА ТЫВА</w:t>
      </w:r>
    </w:p>
    <w:p w:rsidR="00254D50" w:rsidRDefault="00254D50">
      <w:pPr>
        <w:pStyle w:val="ConsPlusTitle"/>
        <w:jc w:val="center"/>
      </w:pPr>
    </w:p>
    <w:p w:rsidR="00254D50" w:rsidRDefault="00254D50">
      <w:pPr>
        <w:pStyle w:val="ConsPlusTitle"/>
        <w:jc w:val="center"/>
      </w:pPr>
      <w:r>
        <w:t>ЗАКОН</w:t>
      </w:r>
    </w:p>
    <w:p w:rsidR="00254D50" w:rsidRDefault="00254D50">
      <w:pPr>
        <w:pStyle w:val="ConsPlusTitle"/>
        <w:jc w:val="both"/>
      </w:pPr>
    </w:p>
    <w:p w:rsidR="00254D50" w:rsidRDefault="00254D50">
      <w:pPr>
        <w:pStyle w:val="ConsPlusTitle"/>
        <w:jc w:val="center"/>
      </w:pPr>
      <w:r>
        <w:t>О НАДЕЛЕНИИ ОРГАНОВ МЕСТНОГО САМОУПРАВЛЕНИЯ МУНИЦИПАЛЬНЫХ</w:t>
      </w:r>
    </w:p>
    <w:p w:rsidR="00254D50" w:rsidRDefault="00254D50">
      <w:pPr>
        <w:pStyle w:val="ConsPlusTitle"/>
        <w:jc w:val="center"/>
      </w:pPr>
      <w:r>
        <w:t>РАЙОНОВ И ГОРОДСКИХ ОКРУГОВ ОТДЕЛЬНЫМИ ГОСУДАРСТВЕННЫМИ</w:t>
      </w:r>
    </w:p>
    <w:p w:rsidR="00254D50" w:rsidRDefault="00254D50">
      <w:pPr>
        <w:pStyle w:val="ConsPlusTitle"/>
        <w:jc w:val="center"/>
      </w:pPr>
      <w:r>
        <w:t>ПОЛНОМОЧИЯМИ РЕСПУБЛИКИ ТЫВА ПО ОРГАНИЗАЦИИ</w:t>
      </w:r>
    </w:p>
    <w:p w:rsidR="00254D50" w:rsidRDefault="00254D50">
      <w:pPr>
        <w:pStyle w:val="ConsPlusTitle"/>
        <w:jc w:val="center"/>
      </w:pPr>
      <w:r>
        <w:t>И ОБЕСПЕЧЕНИЮ ОТДЫХА И ОЗДОРОВЛЕНИЯ ДЕТЕЙ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right"/>
      </w:pPr>
      <w:r>
        <w:t>Принят</w:t>
      </w:r>
    </w:p>
    <w:p w:rsidR="00254D50" w:rsidRDefault="00254D50">
      <w:pPr>
        <w:pStyle w:val="ConsPlusNormal"/>
        <w:jc w:val="right"/>
      </w:pPr>
      <w:r>
        <w:t>Верховным Хуралом (парламентом)</w:t>
      </w:r>
    </w:p>
    <w:p w:rsidR="00254D50" w:rsidRDefault="00254D50">
      <w:pPr>
        <w:pStyle w:val="ConsPlusNormal"/>
        <w:jc w:val="right"/>
      </w:pPr>
      <w:r>
        <w:t>Республики Тыва</w:t>
      </w:r>
    </w:p>
    <w:p w:rsidR="00254D50" w:rsidRDefault="00254D50">
      <w:pPr>
        <w:pStyle w:val="ConsPlusNormal"/>
        <w:jc w:val="right"/>
      </w:pPr>
      <w:r>
        <w:t>29 октября 2018 года</w:t>
      </w:r>
    </w:p>
    <w:p w:rsidR="00254D50" w:rsidRDefault="00254D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4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D50" w:rsidRDefault="00254D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D50" w:rsidRDefault="00254D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4D50" w:rsidRDefault="00254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4D50" w:rsidRDefault="00254D5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Тыва</w:t>
            </w:r>
          </w:p>
          <w:p w:rsidR="00254D50" w:rsidRDefault="002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20.10.2020 </w:t>
            </w:r>
            <w:hyperlink r:id="rId5">
              <w:r>
                <w:rPr>
                  <w:color w:val="0000FF"/>
                </w:rPr>
                <w:t>N 634-ЗРТ</w:t>
              </w:r>
            </w:hyperlink>
            <w:r>
              <w:rPr>
                <w:color w:val="392C69"/>
              </w:rPr>
              <w:t xml:space="preserve">, от 23.06.2023 </w:t>
            </w:r>
            <w:hyperlink r:id="rId6">
              <w:r>
                <w:rPr>
                  <w:color w:val="0000FF"/>
                </w:rPr>
                <w:t>N 951-ЗРТ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D50" w:rsidRDefault="00254D50">
            <w:pPr>
              <w:pStyle w:val="ConsPlusNormal"/>
            </w:pPr>
          </w:p>
        </w:tc>
      </w:tr>
    </w:tbl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 xml:space="preserve">Настоящий Закон разработан в соответствии с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8">
        <w:r>
          <w:rPr>
            <w:color w:val="0000FF"/>
          </w:rPr>
          <w:t>Конституцией</w:t>
        </w:r>
      </w:hyperlink>
      <w:r>
        <w:t xml:space="preserve"> Республики Тыва, Бюджетным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21 декабря 2021 года </w:t>
      </w:r>
      <w:hyperlink r:id="rId10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Федерации", от 6 октября 2003 года </w:t>
      </w:r>
      <w:hyperlink r:id="rId1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 июля 1998 года </w:t>
      </w:r>
      <w:hyperlink r:id="rId12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Тыва от 31 января 2011 года N 387 ВХ-1 "Об организации отдыха, оздоровления и занятости детей в Республике Тыва" и регулирует отношения по наделению органов местного самоуправления муниципальных районов и городских округов Республики Тыва отдельными государственными полномочиями Республики Тыва по организации и обеспечению отдыха и оздоровления детей (за исключением организации отдыха детей в каникулярное время) (далее - отдельные государственные полномочия).</w:t>
      </w:r>
    </w:p>
    <w:p w:rsidR="00254D50" w:rsidRDefault="00254D5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1. Отдельные государственные полномочия, передаваемые органам местного самоуправления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Органы местного самоуправления наделяются отдельными государственными полномочиями, включающими в себя: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осуществление 50 процентов оплаты (компенсации) стоимости путевок в загородные стационарные детские оздоровительные организации Республики Тыва (центры, лагеря, базы, комплексы) (далее - загородные стационарные детские оздоровительные организации Республики Тыва) для детей школьного возраста до 17 лет (включительно);</w:t>
      </w:r>
    </w:p>
    <w:p w:rsidR="00254D50" w:rsidRDefault="00254D5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Республики Тыва от 20.10.2020 N 634-ЗРТ)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 xml:space="preserve">2) осуществление оплаты стоимости набора продуктов питания в лагерях с дневным пребыванием детей, в том числе в детских лагерях труда и отдыха, организованных на базах муниципальных образовательных и спортивных организаций, со сроком пребывания не менее 5 рабочих дней в период весенних, осенних, зимних школьных каникул и не менее 21 календарного </w:t>
      </w:r>
      <w:r>
        <w:lastRenderedPageBreak/>
        <w:t>дня в период летних школьных каникул для детей;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осуществление оплаты стоимости набора продуктов питания в палаточных лагерях, организованных на базах муниципальных образовательных и спортивных организаций, со сроком пребывания от 7 до 10 дней в период летних школьных каникул;</w:t>
      </w:r>
    </w:p>
    <w:p w:rsidR="00254D50" w:rsidRDefault="00254D50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Законом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3) ведение реестра (банка данных) детей по категориям, определенным Правительством Республики Тыва;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4) организация и проведение мониторинга потребности в услугах по организации отдыха детей и их оздоровления, а также качества услуг, оказываемых организациями отдыха детей и их оздоровления;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5) использование результатов мониторинга при планировании расходов республиканского бюджета Республики Тыва на отдых детей и их оздоровление и размещении государственного заказа на приобретение путевок;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6) осуществление распределения бюджетных средств, выделенных на проведение оздоровительной кампании для детей, с учетом потребности на основании реестра (банка данных);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7) оповещение населения о порядке обеспечения отдыха, оздоровления и занятости детей;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8) осуществление мер по защите прав детей на отдых, охрану жизни и здоровья и контроль за условиями нахождения детей и обращением с ними в организациях, обеспечивающих отдых детей и их оздоровление.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2. Перечень органов местного самоуправления, которые наделяются отдельными государственными полномочиями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Настоящим Законом отдельными государственными полномочиями наделяются следующие органы местного самоуправления муниципальных районов и городских округов: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Бай-Тайгинский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2) Барун-Хемчикский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3) Дзун-Хемчикский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4) Каа-Хемский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5) Кызылский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6) Монгун-Тайгинский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7) Овюрский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8) Пий-Хемский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9) Сут-Хольский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10) Тандинский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11) Тес-Хемский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12) Тере-Хольский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lastRenderedPageBreak/>
        <w:t>13) Тоджинский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14) Улуг-Хемский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15) Чаа-Хольский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16) Чеди-Хольский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17) Эрзинский кожуун;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18) город Кызыл;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19) город Ак-Довурак.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3. Срок осуществления органами местного самоуправления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Органы местного самоуправления наделяются отдельными государственными полномочиями на неограниченный срок.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4. Средства, необходимые для осуществления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Средства на реализацию отдельных государственных полномочий предусматриваются в республиканском бюджете Республики Тыва на очередной финансовый год в виде субвенций, предоставляемых местным бюджетам.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 xml:space="preserve">Общий объем субвенций определяется в соответствии с </w:t>
      </w:r>
      <w:hyperlink w:anchor="P157">
        <w:r>
          <w:rPr>
            <w:color w:val="0000FF"/>
          </w:rPr>
          <w:t>Методикой</w:t>
        </w:r>
      </w:hyperlink>
      <w:r>
        <w:t xml:space="preserve"> расчета нормативов для определения общего объема субвенций муниципальным образованиям Республики Тыва на осуществление отдельных государственных полномочий согласно приложению к настоящему Закону.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Перечень подлежащих передаче в пользование и (или) управление материальных средств, необходимых для осуществления отдельных государственных полномочий, определяется Правительством Республики Тыва.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5. Права и обязанности органов местного самоуправления при осуществлении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Органы местного самоуправления при исполнении отдельных государственных полномочий имеют право на: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обеспечение осуществления отдельных государственных полномочий необходимыми материальными ресурсами;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2) получение разъяснений от уполномоченного органа исполнительной власти Республики Тыва в области образования по вопросам осуществления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3) дополнительное использование собственных материальных ресурсов и финансовых средств для реализации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4) принятие муниципальных правовых актов по вопросам осуществления отдельных государственных полномочий в соответствии с настоящим Законом;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 xml:space="preserve">5) обжалование в судебном порядке письменных предписаний органов государственной власти по устранению нарушений, допущенных при осуществлении отдельных государственных </w:t>
      </w:r>
      <w:r>
        <w:lastRenderedPageBreak/>
        <w:t>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6) иные права, предусмотренные федеральным законодательством и законодательством Республики Тыва.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Органы местного самоуправления при исполнении отдельных государственных полномочий обязаны: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осуществлять отдельные государственные полномочия надлежащим образом в соответствии с настоящим Законом и иными нормативными правовыми актами Республики Тыва по вопросам осуществления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2) обеспечивать эффективное и рациональное использование материальных ресурсов и финансовых средств, выделенных из республиканского бюджета Республики Тыва на осуществление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3) исполнять письменные предписания органов государственной власти по устранению нарушений, допущенных по вопросам осуществления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4) выполнять иные обязанности, предусмотренные федеральным законодательством и законодательством Республики Тыва, при осуществлении отдельных государственных полномочий.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6. Права и обязанности органов исполнительной власти Республики Тыва при осуществлении органами местного самоуправления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Органы исполнительной власти Республики Тыва при осуществлении органами местного самоуправления отдельных государственных полномочий имеют право: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получать в установленном порядке от органов местного самоуправления необходимую информацию об использовании материальных ресурсов и финансовых средств на осуществление ими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2) осуществлять иные права в соответствии с федеральным законодательством и законодательством Республики Тыва.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В соответствии с компетенцией органы исполнительной власти Республики Тыва при осуществлении органами местного самоуправления отдельных государственных полномочий обязаны: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обеспечить передачу органам местного самоуправления финансовых средств, необходимых для осуществления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2) осуществлять контроль за исполнением органами местного самоуправления отдельных государственных полномочий, а также за использованием предоставленных на эти цели финансовых средств;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3) давать разъяснения и оказывать методическую помощь органам местного самоуправления по вопросам осуществления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4) оказывать содействие органам местного самоуправления в разрешении вопросов, связанных с осуществлением ими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5) осуществлять иные обязанности в соответствии с федеральным законодательством и законодательством Республики Тыва.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 xml:space="preserve">Статья 7. Ответственность органов местного самоуправления, их должностных лиц за </w:t>
      </w:r>
      <w:r>
        <w:lastRenderedPageBreak/>
        <w:t>неисполнение или ненадлежащее исполнение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Органы местного самоуправления, их должностные лица несут ответственность за неисполнение или ненадлежащее исполнение переданных настоящим Законом отдельных государственных полномочий в соответствии с законодательством Российской Федерации и законодательством Республики Тыва.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8. Формы взаимодействия органов исполнительной власти Республики Тыва и органов местного самоуправления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Правительство Республики Тыва через органы исполнительной власти Республики Тыва осуществляет организационное, методическое руководство и контроль за исполнением возложенных на органы местного самоуправления отдельных государственных полномочий и использованием переданных на эти цели финансовых средств.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Уполномоченные органы исполнительной власти Республики Тыва в пределах своей компетенции имеют право издавать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порядку их реализации, а также осуществлять контроль за их исполнением.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9. Порядок отчетности органов местного самоуправления об осуществлении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Не позднее десятого числа месяца, следующего за отчетным периодом, органы местного самоуправления представляют в Министерство образования Республики Тыва квартальные и годовые отчеты об осуществлении отдельных государственных полномочий по форме, устанавливаемой указанным органом.</w:t>
      </w:r>
    </w:p>
    <w:p w:rsidR="00254D50" w:rsidRDefault="00254D5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Органы местного самоуправления представляют в Министерство финансов Республики Тыва отчеты об использовании выделенных финансовых средств на осуществление отдельных государственных полномочий по форме и в сроки, установленные для представления отчетов об исполнении консолидированного бюджета Республики Тыва.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10. Порядок осуществления органами исполнительной власти Республики Тыва контроля за осуществлением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Целью контроля за осуществлением отдельных государственных полномочий является обеспечение соблюдения органами местного самоуправления при осуществлении ими отдельных государственных полномочий требований федерального законодательства и законодательства Республики Тыва.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Контроль осуществляется путем проведения проверок, запросов необходимых документов и информации об исполнении отдельных государственных полномочий.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3. Правительство Республики Тыва осуществляет контроль за исполнением переданных органам местного самоуправления отдельных государственных полномочий через Министерство образования Республики Тыва. Периодичность, формы, сроки и порядок проведения проверок устанавливаются Министерством образования Республики Тыва.</w:t>
      </w:r>
    </w:p>
    <w:p w:rsidR="00254D50" w:rsidRDefault="00254D5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 xml:space="preserve">4. Правительство Республики Тыва осуществляет контроль за использованием органами местного самоуправления финансовых средств, предоставленных им для осуществления отдельных государственных полномочий, через Министерство финансов Республики Тыва. Периодичность, формы, сроки и порядок проведения проверок устанавливаются Министерством </w:t>
      </w:r>
      <w:r>
        <w:lastRenderedPageBreak/>
        <w:t>финансов Республики Тыва.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5.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Республики Тыва по вопросам осуществления отдельных государственных полномочий Министерство образования Республики Тыва вправе давать письменные предписания по устранению выявленных нарушений, обязательные для исполнения органами местного самоуправления и должностными лицами местного самоуправления.</w:t>
      </w:r>
    </w:p>
    <w:p w:rsidR="00254D50" w:rsidRDefault="00254D5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11. Условия и порядок прекращения осуществления органами местного самоуправления переданных им отдельных государственных полномочий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Осуществление органами местного самоуправления переданных государственных полномочий может быть прекращено при условии: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1) неэффективного исполнения органами местного самоуправления переданных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2) нецелевого использования органами местного самоуправления финансовых средств, предоставляемых местным бюджетам из республиканского бюджета Республики Тыва для осуществления переданных отдельных государственных полномочий;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3) нарушения органами местного самоуправления при осуществлении переданных отдельных государственных полномочий законодательства Российской Федерации и законодательства Республики Тыва;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4) признания судом недействующими актов органов местного самоуправления, связанных с осуществлением отдельных государственных полномочий.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Решение о прекращении осуществления органами местного самоуправления переданных отдельных государственных полномочий принимается Верховным Хуралом (парламентом) Республики Тыва по представлению Главы Республики Тыва в соответствии с законодательством Республики Тыва.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ind w:firstLine="540"/>
        <w:jc w:val="both"/>
        <w:outlineLvl w:val="1"/>
      </w:pPr>
      <w:r>
        <w:t>Статья 12. Вступление в силу настоящего Закона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right"/>
      </w:pPr>
      <w:r>
        <w:t>Глава Республики Тыва</w:t>
      </w:r>
    </w:p>
    <w:p w:rsidR="00254D50" w:rsidRDefault="00254D50">
      <w:pPr>
        <w:pStyle w:val="ConsPlusNormal"/>
        <w:jc w:val="right"/>
      </w:pPr>
      <w:r>
        <w:t>Ш.КАРА-ООЛ</w:t>
      </w:r>
    </w:p>
    <w:p w:rsidR="00254D50" w:rsidRDefault="00254D50">
      <w:pPr>
        <w:pStyle w:val="ConsPlusNormal"/>
        <w:jc w:val="both"/>
      </w:pPr>
      <w:r>
        <w:t>г. Кызыл</w:t>
      </w:r>
    </w:p>
    <w:p w:rsidR="00254D50" w:rsidRDefault="00254D50">
      <w:pPr>
        <w:pStyle w:val="ConsPlusNormal"/>
        <w:spacing w:before="220"/>
        <w:jc w:val="both"/>
      </w:pPr>
      <w:r>
        <w:t>14 ноября 2018 года</w:t>
      </w:r>
    </w:p>
    <w:p w:rsidR="00254D50" w:rsidRDefault="00254D50">
      <w:pPr>
        <w:pStyle w:val="ConsPlusNormal"/>
        <w:spacing w:before="220"/>
        <w:jc w:val="both"/>
      </w:pPr>
      <w:r>
        <w:t>N 437-ЗРТ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right"/>
        <w:outlineLvl w:val="0"/>
      </w:pPr>
      <w:r>
        <w:t>Приложение</w:t>
      </w:r>
    </w:p>
    <w:p w:rsidR="00254D50" w:rsidRDefault="00254D50">
      <w:pPr>
        <w:pStyle w:val="ConsPlusNormal"/>
        <w:jc w:val="right"/>
      </w:pPr>
      <w:r>
        <w:t>к Закону Республики Тыва</w:t>
      </w:r>
    </w:p>
    <w:p w:rsidR="00254D50" w:rsidRDefault="00254D50">
      <w:pPr>
        <w:pStyle w:val="ConsPlusNormal"/>
        <w:jc w:val="right"/>
      </w:pPr>
      <w:r>
        <w:t>"О наделении органов местного</w:t>
      </w:r>
    </w:p>
    <w:p w:rsidR="00254D50" w:rsidRDefault="00254D50">
      <w:pPr>
        <w:pStyle w:val="ConsPlusNormal"/>
        <w:jc w:val="right"/>
      </w:pPr>
      <w:r>
        <w:t>самоуправления муниципальных</w:t>
      </w:r>
    </w:p>
    <w:p w:rsidR="00254D50" w:rsidRDefault="00254D50">
      <w:pPr>
        <w:pStyle w:val="ConsPlusNormal"/>
        <w:jc w:val="right"/>
      </w:pPr>
      <w:r>
        <w:lastRenderedPageBreak/>
        <w:t>районов и городских округов</w:t>
      </w:r>
    </w:p>
    <w:p w:rsidR="00254D50" w:rsidRDefault="00254D50">
      <w:pPr>
        <w:pStyle w:val="ConsPlusNormal"/>
        <w:jc w:val="right"/>
      </w:pPr>
      <w:r>
        <w:t>отдельными государственными</w:t>
      </w:r>
    </w:p>
    <w:p w:rsidR="00254D50" w:rsidRDefault="00254D50">
      <w:pPr>
        <w:pStyle w:val="ConsPlusNormal"/>
        <w:jc w:val="right"/>
      </w:pPr>
      <w:r>
        <w:t>полномочиями Республики Тыва</w:t>
      </w:r>
    </w:p>
    <w:p w:rsidR="00254D50" w:rsidRDefault="00254D50">
      <w:pPr>
        <w:pStyle w:val="ConsPlusNormal"/>
        <w:jc w:val="right"/>
      </w:pPr>
      <w:r>
        <w:t>по организации и обеспечению</w:t>
      </w:r>
    </w:p>
    <w:p w:rsidR="00254D50" w:rsidRDefault="00254D50">
      <w:pPr>
        <w:pStyle w:val="ConsPlusNormal"/>
        <w:jc w:val="right"/>
      </w:pPr>
      <w:r>
        <w:t>отдыха и оздоровления детей"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Title"/>
        <w:jc w:val="center"/>
      </w:pPr>
      <w:bookmarkStart w:id="0" w:name="P157"/>
      <w:bookmarkEnd w:id="0"/>
      <w:r>
        <w:t>МЕТОДИКА</w:t>
      </w:r>
    </w:p>
    <w:p w:rsidR="00254D50" w:rsidRDefault="00254D50">
      <w:pPr>
        <w:pStyle w:val="ConsPlusTitle"/>
        <w:jc w:val="center"/>
      </w:pPr>
      <w:r>
        <w:t>РАСЧЕТА НОРМАТИВОВ ДЛЯ ОПРЕДЕЛЕНИЯ ОБЩЕГО ОБЪЕМА СУБВЕНЦИЙ</w:t>
      </w:r>
    </w:p>
    <w:p w:rsidR="00254D50" w:rsidRDefault="00254D50">
      <w:pPr>
        <w:pStyle w:val="ConsPlusTitle"/>
        <w:jc w:val="center"/>
      </w:pPr>
      <w:r>
        <w:t>МУНИЦИПАЛЬНЫМ ОБРАЗОВАНИЯМ РЕСПУБЛИКИ ТЫВА НА ОСУЩЕСТВЛЕНИЕ</w:t>
      </w:r>
    </w:p>
    <w:p w:rsidR="00254D50" w:rsidRDefault="00254D50">
      <w:pPr>
        <w:pStyle w:val="ConsPlusTitle"/>
        <w:jc w:val="center"/>
      </w:pPr>
      <w:r>
        <w:t>ГОСУДАРСТВЕННЫХ ПОЛНОМОЧИЙ ПО ОРГАНИЗАЦИИ</w:t>
      </w:r>
    </w:p>
    <w:p w:rsidR="00254D50" w:rsidRDefault="00254D50">
      <w:pPr>
        <w:pStyle w:val="ConsPlusTitle"/>
        <w:jc w:val="center"/>
      </w:pPr>
      <w:r>
        <w:t>И ОБЕСПЕЧЕНИЮ ОТДЫХА И ОЗДОРОВЛЕНИЯ ДЕТЕЙ</w:t>
      </w:r>
    </w:p>
    <w:p w:rsidR="00254D50" w:rsidRDefault="00254D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4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D50" w:rsidRDefault="00254D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D50" w:rsidRDefault="00254D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4D50" w:rsidRDefault="00254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4D50" w:rsidRDefault="002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Тыва от 23.06.2023 N 951-ЗРТ)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D50" w:rsidRDefault="00254D50">
            <w:pPr>
              <w:pStyle w:val="ConsPlusNormal"/>
            </w:pPr>
          </w:p>
        </w:tc>
      </w:tr>
    </w:tbl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1. Настоящая Методика определяет расчет субвенций, предоставляемых из республиканского бюджета Республики Тыва бюджетам муниципальных районов и городских округов на осуществление государственных полномочий по организации и обеспечению отдыха и оздоровления детей.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2. Расчет субвенций производится по следующей формуле: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61505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ind w:firstLine="540"/>
        <w:jc w:val="both"/>
      </w:pPr>
      <w:r>
        <w:t>где: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объем субвенций i-му муниципальному району (городскому округу);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i</w:t>
      </w:r>
      <w:r>
        <w:t xml:space="preserve"> - численность детей, подлежащих отдыху и оздоровлению в оздоровительных лагерях с дневным пребыванием, организованных образовательными организациями в каникулярное время;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N - стоимость питания в день для детей в оздоровительных лагерях с дневным пребыванием;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g</w:t>
      </w:r>
      <w:r>
        <w:t xml:space="preserve"> - продолжительность пребывания детей в оздоровительных лагерях с дневным пребыванием в смену в соответствующем периоде каникул (в днях);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ni</w:t>
      </w:r>
      <w:r>
        <w:t xml:space="preserve"> - количество путевок, приобретаемых в загородные стационарные детские оздоровительные лагеря;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стоимость путевки в загородные стационарные детские оздоровительные лагеря, финансируемая за счет средств республиканского бюджета Республики Тыва, установленная Правительством Республики Тыва;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</w:t>
      </w:r>
      <w:r>
        <w:t xml:space="preserve"> - численность детей, подлежащих отдыху и оздоровлению в палаточных лагерях в каникулярное время;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p</w:t>
      </w:r>
      <w:r>
        <w:t xml:space="preserve"> - стоимость питания в день для палаточных лагерей;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p</w:t>
      </w:r>
      <w:r>
        <w:t xml:space="preserve"> - продолжительность пребывания детей в палаточных лагерях в смену в соответствующем периоде каникул (в днях).</w:t>
      </w:r>
    </w:p>
    <w:p w:rsidR="00254D50" w:rsidRDefault="00254D50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 xml:space="preserve">3. Стоимость питания в день для детей в оздоровительных лагерях с дневным пребыванием </w:t>
      </w:r>
      <w:r>
        <w:lastRenderedPageBreak/>
        <w:t>и в палаточных лагерях определяется в соответствии с нормативами оплаты стоимости путевки в санатории, санаторные оздоровительные лагеря круглогодичного действия, загородные стационарные детские оздоровительные лагеря, оздоровительные лагеря с дневным пребыванием детей.</w:t>
      </w:r>
    </w:p>
    <w:p w:rsidR="00254D50" w:rsidRDefault="00254D50">
      <w:pPr>
        <w:pStyle w:val="ConsPlusNormal"/>
        <w:jc w:val="both"/>
      </w:pPr>
      <w:r>
        <w:t xml:space="preserve">(п. 3 в ред. </w:t>
      </w:r>
      <w:hyperlink r:id="rId23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spacing w:before="220"/>
        <w:ind w:firstLine="540"/>
        <w:jc w:val="both"/>
      </w:pPr>
      <w:r>
        <w:t xml:space="preserve">4. Среднесуточный набор пищевых продуктов в день для детей в оздоровительных лагерях с дневным пребыванием, в загородных стационарных детских оздоровительных лагерях и в палаточных лагерях должен быть обеспечен в соответствии с требованиями </w:t>
      </w:r>
      <w:hyperlink r:id="rId24">
        <w:r>
          <w:rPr>
            <w:color w:val="0000FF"/>
          </w:rPr>
          <w:t>СанПиН 2.3/2.4.3590-20</w:t>
        </w:r>
      </w:hyperlink>
      <w:r>
        <w:t>.</w:t>
      </w:r>
    </w:p>
    <w:p w:rsidR="00254D50" w:rsidRDefault="00254D50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Тыва от 23.06.2023 N 951-ЗРТ)</w:t>
      </w: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jc w:val="both"/>
      </w:pPr>
    </w:p>
    <w:p w:rsidR="00254D50" w:rsidRDefault="00254D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1431" w:rsidRDefault="00D31431">
      <w:bookmarkStart w:id="1" w:name="_GoBack"/>
      <w:bookmarkEnd w:id="1"/>
    </w:p>
    <w:sectPr w:rsidR="00D31431" w:rsidSect="0062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0"/>
    <w:rsid w:val="00254D50"/>
    <w:rsid w:val="00D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2087B-CA77-4905-8E8D-097B830A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4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39764" TargetMode="External"/><Relationship Id="rId13" Type="http://schemas.openxmlformats.org/officeDocument/2006/relationships/hyperlink" Target="https://login.consultant.ru/link/?req=doc&amp;base=RLAW434&amp;n=38222&amp;dst=100151" TargetMode="External"/><Relationship Id="rId18" Type="http://schemas.openxmlformats.org/officeDocument/2006/relationships/hyperlink" Target="https://login.consultant.ru/link/?req=doc&amp;base=RLAW434&amp;n=40075&amp;dst=10001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46171&amp;dst=100221" TargetMode="External"/><Relationship Id="rId17" Type="http://schemas.openxmlformats.org/officeDocument/2006/relationships/hyperlink" Target="https://login.consultant.ru/link/?req=doc&amp;base=RLAW434&amp;n=40075&amp;dst=100012" TargetMode="External"/><Relationship Id="rId25" Type="http://schemas.openxmlformats.org/officeDocument/2006/relationships/hyperlink" Target="https://login.consultant.ru/link/?req=doc&amp;base=RLAW434&amp;n=40075&amp;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4&amp;n=40075&amp;dst=100010" TargetMode="External"/><Relationship Id="rId20" Type="http://schemas.openxmlformats.org/officeDocument/2006/relationships/hyperlink" Target="https://login.consultant.ru/link/?req=doc&amp;base=RLAW434&amp;n=40075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0075&amp;dst=100008" TargetMode="External"/><Relationship Id="rId11" Type="http://schemas.openxmlformats.org/officeDocument/2006/relationships/hyperlink" Target="https://login.consultant.ru/link/?req=doc&amp;base=LAW&amp;n=471024&amp;dst=101134" TargetMode="External"/><Relationship Id="rId24" Type="http://schemas.openxmlformats.org/officeDocument/2006/relationships/hyperlink" Target="https://login.consultant.ru/link/?req=doc&amp;base=LAW&amp;n=367564&amp;dst=100037" TargetMode="External"/><Relationship Id="rId5" Type="http://schemas.openxmlformats.org/officeDocument/2006/relationships/hyperlink" Target="https://login.consultant.ru/link/?req=doc&amp;base=RLAW434&amp;n=32861&amp;dst=100008" TargetMode="External"/><Relationship Id="rId15" Type="http://schemas.openxmlformats.org/officeDocument/2006/relationships/hyperlink" Target="https://login.consultant.ru/link/?req=doc&amp;base=RLAW434&amp;n=32861&amp;dst=100008" TargetMode="External"/><Relationship Id="rId23" Type="http://schemas.openxmlformats.org/officeDocument/2006/relationships/hyperlink" Target="https://login.consultant.ru/link/?req=doc&amp;base=RLAW434&amp;n=40075&amp;dst=100030" TargetMode="External"/><Relationship Id="rId10" Type="http://schemas.openxmlformats.org/officeDocument/2006/relationships/hyperlink" Target="https://login.consultant.ru/link/?req=doc&amp;base=LAW&amp;n=471106&amp;dst=100073" TargetMode="External"/><Relationship Id="rId19" Type="http://schemas.openxmlformats.org/officeDocument/2006/relationships/hyperlink" Target="https://login.consultant.ru/link/?req=doc&amp;base=RLAW434&amp;n=40075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9774" TargetMode="External"/><Relationship Id="rId14" Type="http://schemas.openxmlformats.org/officeDocument/2006/relationships/hyperlink" Target="https://login.consultant.ru/link/?req=doc&amp;base=RLAW434&amp;n=40075&amp;dst=100009" TargetMode="External"/><Relationship Id="rId22" Type="http://schemas.openxmlformats.org/officeDocument/2006/relationships/hyperlink" Target="https://login.consultant.ru/link/?req=doc&amp;base=RLAW434&amp;n=40075&amp;dst=1000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2785</Words>
  <Characters>15880</Characters>
  <Application>Microsoft Office Word</Application>
  <DocSecurity>0</DocSecurity>
  <Lines>132</Lines>
  <Paragraphs>37</Paragraphs>
  <ScaleCrop>false</ScaleCrop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sendi_ch</cp:lastModifiedBy>
  <cp:revision>2</cp:revision>
  <dcterms:created xsi:type="dcterms:W3CDTF">2024-11-08T04:46:00Z</dcterms:created>
  <dcterms:modified xsi:type="dcterms:W3CDTF">2024-11-08T04:47:00Z</dcterms:modified>
</cp:coreProperties>
</file>